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Regular Meeting Minutes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June 9,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6:12 pm.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 Directors Zuber and Fuschich, Chief Zamora, District Clerk, Board Member to be elected John Snider.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Request for purchase of Model 18 from OES, and Type 6 from another agency…Line item 6 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 No public in attendance.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 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746: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$ 140,994.17 end of April; no green bar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ind w:left="180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724: $ 99,838.76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Approval of 724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$30,110.69; Director Zuber motioned to approve; Director Fuschich 2nd the motion; 2 ayes; motion approved. 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ind w:left="18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746 $17,674.66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; Director Zuber motioned to approve; Director Fuschich 2nd the motion; 2 ayes; motion approved.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31 calls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New Fire Fighter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Water tender up and running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Bathroom repaired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Type 3 6873; body is cracked; out of service; body is structurally not sound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requested to send out for an estimate of repairs, to Hi-Tech Fire Apparatus, Director Zuber 2nd the motion; 2 ayes; motion passed.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San Ramon engine; spent $8k so far and won’t pump water;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Director Fuschich motioned to surplus the San Ramon engine; Director Zuber 2nd the motion; 2 ayes; motion passed.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Request for purchase of Model 18 from OES, and Type 6 from another agency.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purchase OES engine in the amount of $40k; Director Zuber 2nd the motion; 2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Appointment of Board Member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appoint John D. Snider to take the vacated seat as the Vice-Chairman, which was vacated by ex-Board Member Marc Zamora by April 1, 2022; Director Zuber 2nd the motion; 2 ayes; motion passed.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General:  Need to do a check on facilities in order to hold meetings at the portable.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Audit: No update.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No update.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3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Surplus Equipment: See Chief’s report. 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H. Monthly Meetings: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N/A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N/A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 Measure K discussion; rates and fuel costs being discussed; 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 No update. 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Budget meeting and preliminary budget due by August 1, 2022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 None</w:t>
      </w:r>
    </w:p>
    <w:p w:rsidR="00000000" w:rsidDel="00000000" w:rsidP="00000000" w:rsidRDefault="00000000" w:rsidRPr="00000000" w14:paraId="0000004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Recess to review 6873 at 7:05 pm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Reconviend: 7:20 pm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Adjourned: 8:20 pm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JH/0+cEe8TzM2QKW/0grvztYYQ==">AMUW2mUY7WUJpjHBuaerifgBbiE/ZCdRD2brMSGp3gdltyz+96vfS4Oei3NtDZTTQVbZ7lgchyl94u4I8beG1tcPIC1xL17lGYTKh2t+u/9S7CgsSqvU6EI=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