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Larry Potter: Chairman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Vacant: Vice-Chairman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 xml:space="preserve">      </w:t>
      </w:r>
      <w:r w:rsidDel="00000000" w:rsidR="00000000" w:rsidRPr="00000000">
        <w:rPr>
          <w:b w:val="1"/>
          <w:rtl w:val="0"/>
        </w:rPr>
        <w:t xml:space="preserve">Special  Meeting Agenda </w:t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October 15, 2020</w:t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6:00 p.m. </w:t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660" w:hanging="360"/>
        <w:rPr>
          <w:u w:val="none"/>
        </w:rPr>
      </w:pPr>
      <w:r w:rsidDel="00000000" w:rsidR="00000000" w:rsidRPr="00000000">
        <w:rPr>
          <w:rtl w:val="0"/>
        </w:rPr>
        <w:t xml:space="preserve">Flag Salute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II. Public Comment: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III. Minutes: 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IV: Treasurer’s Report: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Financial Report: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Approval of Bills: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Benefit Assessment: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V. Discussion/Action Items: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Chief’s Report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MOU NID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Hire(s)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Potential Board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Website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Rose Bar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Policies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Adoption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Surplus Equipment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 Ordinance: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Mitigation Rates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      F. Monthly Meetings: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JPA: 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YWFSC: 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CM: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SCRFI: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SFFA(Smartsville Fire Fighters Association): 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VI. Correspondence: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VII. Good of the Order: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VIII. Adjournment: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