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Larry Potter: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Vacant: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b w:val="1"/>
          <w:rtl w:val="0"/>
        </w:rPr>
        <w:t xml:space="preserve">Special  Meeting Agenda 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October 15, 2020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660" w:hanging="360"/>
        <w:rPr>
          <w:u w:val="none"/>
        </w:rPr>
      </w:pPr>
      <w:r w:rsidDel="00000000" w:rsidR="00000000" w:rsidRPr="00000000">
        <w:rPr>
          <w:rtl w:val="0"/>
        </w:rPr>
        <w:t xml:space="preserve">Flag Salute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II. Public Comment: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III. Minutes: 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IV: Treasurer’s Report: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Report: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Approval of Bills: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Benefit Assessment: No update.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V. Discussion/Action Items: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Chief’s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MOU NID: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Hire(s):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Potential Board Members: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Website: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Rose Bar: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Surplus Equipment: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 Ordinance: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Mitigation Rates: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      J. Monthly Meetings: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JPA: 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YWFSC: 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CM:  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SCRFI: 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SFFA(Smartsville Fire Fighters Association): 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  <w:t xml:space="preserve">    K. Resolution 2020-004: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VI. Correspondence: None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VII. Good of the Order: 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VIII. Adjournment: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